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processo-n.º-12342026"/>
    <w:p>
      <w:pPr>
        <w:pStyle w:val="Heading2"/>
      </w:pPr>
      <w:r>
        <w:t xml:space="preserve">Processo n.º 1234/2026</w:t>
      </w:r>
    </w:p>
    <w:bookmarkStart w:id="9" w:name="X033699c754b645ec5e065b6b8c6c99f84b86bcd"/>
    <w:p>
      <w:pPr>
        <w:pStyle w:val="Heading3"/>
      </w:pPr>
      <w:r>
        <w:t xml:space="preserve">Requerimento de Ordem de Julgamento – Pedido de Sentença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59"/>
        <w:gridCol w:w="2897"/>
        <w:gridCol w:w="965"/>
        <w:gridCol w:w="289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José Manuel da Silva, NIF 123 456 789, residente em Rua da Liberdade, 45, 3.º Esq., 1150‑070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Empresa XYZ, Lda., NIPC 504 321 987, com sede em Avenida da República, 120, 4000‑200 Porto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 do Autor</w:t>
            </w:r>
          </w:p>
        </w:tc>
        <w:tc>
          <w:tcPr/>
          <w:p>
            <w:pPr>
              <w:pStyle w:val="Compact"/>
            </w:pPr>
            <w:r>
              <w:t xml:space="preserve">Dr. António Ribeiro, advogado, OAB 12345, escritório em Rua das Flores, 12, 2.º Dto., 1050‑150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Mandatária do Réu</w:t>
            </w:r>
          </w:p>
        </w:tc>
        <w:tc>
          <w:tcPr/>
          <w:p>
            <w:pPr>
              <w:pStyle w:val="Compact"/>
            </w:pPr>
            <w:r>
              <w:t xml:space="preserve">Dra. Sofia Carvalho, advogada, OAB 67890, escritório em Rua do Sol, 8, 1.º Esq., 3000‑100 Coimbra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Juíza</w:t>
            </w:r>
          </w:p>
        </w:tc>
        <w:tc>
          <w:tcPr/>
          <w:p>
            <w:pPr>
              <w:pStyle w:val="Compact"/>
            </w:pPr>
            <w:r>
              <w:t xml:space="preserve">Dr.ª Maria de Lurdes Santos – Tribunal Judicial do Trabalho de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início da ação</w:t>
            </w:r>
          </w:p>
        </w:tc>
        <w:tc>
          <w:tcPr/>
          <w:p>
            <w:pPr>
              <w:pStyle w:val="Compact"/>
            </w:pPr>
            <w:r>
              <w:t xml:space="preserve">12 de janeiro de 2026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X48130aead7ff3bec1a1a29a6628975df6406064"/>
    <w:p>
      <w:pPr>
        <w:pStyle w:val="Heading3"/>
      </w:pPr>
      <w:r>
        <w:t xml:space="preserve">I. Exposição dos Factos e do Estado da Instrução</w:t>
      </w:r>
    </w:p>
    <w:p>
      <w:pPr>
        <w:numPr>
          <w:ilvl w:val="0"/>
          <w:numId w:val="1001"/>
        </w:numPr>
      </w:pPr>
      <w:r>
        <w:t xml:space="preserve">O Autor,</w:t>
      </w:r>
      <w:r>
        <w:t xml:space="preserve"> </w:t>
      </w:r>
      <w:r>
        <w:rPr>
          <w:b/>
          <w:bCs/>
        </w:rPr>
        <w:t xml:space="preserve">José Manuel da Silva</w:t>
      </w:r>
      <w:r>
        <w:t xml:space="preserve">, foi admitido pela Empresa XYZ, Lda. em 15 de março de 2014, tendo acumulado doze (12) anos de antiguidade até à data do seu despedimento, ocorrido a 20 de outubro de 2025.</w:t>
      </w:r>
    </w:p>
    <w:p>
      <w:pPr>
        <w:numPr>
          <w:ilvl w:val="0"/>
          <w:numId w:val="1001"/>
        </w:numPr>
      </w:pPr>
      <w:r>
        <w:t xml:space="preserve">Em 22 de outubro de 2025, a empresa notificou o Autor, por carta registada com aviso de receção, da decisão de cessar o contrato de trabalho por</w:t>
      </w:r>
      <w:r>
        <w:t xml:space="preserve"> </w:t>
      </w:r>
      <w:r>
        <w:rPr>
          <w:b/>
          <w:bCs/>
        </w:rPr>
        <w:t xml:space="preserve">justa causa</w:t>
      </w:r>
      <w:r>
        <w:t xml:space="preserve">, alegando uso indevido do email corporativo e violação do dever de lealdade.</w:t>
      </w:r>
    </w:p>
    <w:p>
      <w:pPr>
        <w:numPr>
          <w:ilvl w:val="0"/>
          <w:numId w:val="1001"/>
        </w:numPr>
      </w:pPr>
      <w:r>
        <w:t xml:space="preserve">O Autor impugnou a decisão, sustentando que:</w:t>
      </w:r>
    </w:p>
    <w:p>
      <w:pPr>
        <w:numPr>
          <w:ilvl w:val="1"/>
          <w:numId w:val="1002"/>
        </w:numPr>
      </w:pPr>
      <w:r>
        <w:t xml:space="preserve">O conteúdo do email referido consistia exclusivamente em comunicações pessoais de natureza privada, não configurando violação grave dos deveres contratuais;</w:t>
      </w:r>
    </w:p>
    <w:p>
      <w:pPr>
        <w:numPr>
          <w:ilvl w:val="1"/>
          <w:numId w:val="1002"/>
        </w:numPr>
      </w:pPr>
      <w:r>
        <w:t xml:space="preserve">Não foi observado o procedimento legal de comunicação prévia, nomeadamente a inexistência de advertência escrita ou oportunidade de defesa antes da decisão de despedimento;</w:t>
      </w:r>
    </w:p>
    <w:p>
      <w:pPr>
        <w:numPr>
          <w:ilvl w:val="1"/>
          <w:numId w:val="1002"/>
        </w:numPr>
      </w:pPr>
      <w:r>
        <w:t xml:space="preserve">A sanção aplicada revela desproporcionalidade face à gravidade dos factos alegados.</w:t>
      </w:r>
    </w:p>
    <w:p>
      <w:pPr>
        <w:numPr>
          <w:ilvl w:val="0"/>
          <w:numId w:val="1001"/>
        </w:numPr>
      </w:pPr>
      <w:r>
        <w:t xml:space="preserve">A fase probatória foi concluída em 10 de fevereiro de 2026, com a prática dos seguintes atos:</w:t>
      </w:r>
    </w:p>
    <w:p>
      <w:pPr>
        <w:pStyle w:val="Compact"/>
        <w:numPr>
          <w:ilvl w:val="1"/>
          <w:numId w:val="1003"/>
        </w:numPr>
      </w:pPr>
      <w:r>
        <w:t xml:space="preserve">Audiência de produção de prova oral (23 de janeiro de 2026);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Depoimentos das partes e de duas testemunhas (Maria Ferreira e Luís Almeida);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Apresentação de documentos eletrónicos (cópias de emails, registos de acesso ao servidor da empresa) e de documentos internos da empresa (regulamento interno de utilização dos meios de comunicação).</w:t>
      </w:r>
    </w:p>
    <w:p>
      <w:pPr>
        <w:numPr>
          <w:ilvl w:val="0"/>
          <w:numId w:val="1001"/>
        </w:numPr>
      </w:pPr>
      <w:r>
        <w:t xml:space="preserve">Todas as provas foram devidamente apreciadas e juntadas aos autos, não subsistindo quaisquer questões pendentes que exijam nova produção de prova.</w:t>
      </w:r>
    </w:p>
    <w:p>
      <w:r>
        <w:pict>
          <v:rect style="width:0;height:1.5pt" o:hralign="center" o:hrstd="t" o:hr="t"/>
        </w:pict>
      </w:r>
    </w:p>
    <w:bookmarkEnd w:id="10"/>
    <w:bookmarkStart w:id="11" w:name="ii.-fundamentação-jurídica-do-pedido"/>
    <w:p>
      <w:pPr>
        <w:pStyle w:val="Heading3"/>
      </w:pPr>
      <w:r>
        <w:t xml:space="preserve">II. Fundamentação Jurídica do Pedido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Legitimidade da Justa Causa</w:t>
      </w:r>
      <w:r>
        <w:t xml:space="preserve"> </w:t>
      </w:r>
      <w:r>
        <w:t xml:space="preserve">– Nos termos do artigo 351.º do Código do Trabalho, a justa causa exige a prática de um facto grave que torne impossível a manutenção da relação laboral. A jurisprudência consolidada do Tribunal Supremo (Acórdão n.º 123/20.6T8LSB) estabelece que a mera utilização de meios de comunicação corporativos para fins pessoais, sem prejuízo demonstrável ao empregador, não constitui, por si só, causa suficientemente grave para o despedimento.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Proporcionalidade da Sanção</w:t>
      </w:r>
      <w:r>
        <w:t xml:space="preserve"> </w:t>
      </w:r>
      <w:r>
        <w:t xml:space="preserve">– O princípio da proporcionalidade, consagrado no artigo 19.º da Constituição da República Portuguesa e aplicado ao Direito do Trabalho, impõe que a sanção disciplinar seja adequada e equilibrada face à gravidade da infração. A ausência de advertência prévia e a inexistência de oportunidade de defesa violam o devido processo legal (artigos 20.º e 21.º do Código de Processo Civil).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Cumprimento dos Requisitos Formais</w:t>
      </w:r>
      <w:r>
        <w:t xml:space="preserve"> </w:t>
      </w:r>
      <w:r>
        <w:t xml:space="preserve">– O artigo 351.º, n.º 2, do Código do Trabalho exige que a comunicação do despedimento seja feita por escrito, contendo a exposição dos factos que lhe dão origem e a indicação da data de cessação. A carta enviada pela empresa, embora escrita, não descreve de forma detalhada os factos concretos nem indica a possibilidade de impugnação, incorrendo, assim, em nulidade relativa do ato de despedimento (artigo 351.º, n.º 3).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Conclusão da Instrução</w:t>
      </w:r>
      <w:r>
        <w:t xml:space="preserve"> </w:t>
      </w:r>
      <w:r>
        <w:t xml:space="preserve">– Concluída a fase de produção de prova, não há mais matéria que justifique a dilação do processo. O direito à tutela judicial efetiva, consagrado no artigo 20.º da Constituição, impõe ao tribunal a emissão de sentença dentro de prazo razoável.</w:t>
      </w:r>
    </w:p>
    <w:p>
      <w:r>
        <w:pict>
          <v:rect style="width:0;height:1.5pt" o:hralign="center" o:hrstd="t" o:hr="t"/>
        </w:pict>
      </w:r>
    </w:p>
    <w:bookmarkEnd w:id="11"/>
    <w:bookmarkStart w:id="12" w:name="iii.-pedido"/>
    <w:p>
      <w:pPr>
        <w:pStyle w:val="Heading3"/>
      </w:pPr>
      <w:r>
        <w:t xml:space="preserve">III. Pedido</w:t>
      </w:r>
    </w:p>
    <w:p>
      <w:pPr>
        <w:pStyle w:val="FirstParagraph"/>
      </w:pPr>
      <w:r>
        <w:rPr>
          <w:b/>
          <w:bCs/>
        </w:rPr>
        <w:t xml:space="preserve">Nos termos do artigo 513.º, n.º 1, do Código de Processo Civil, e do artigo 352.º do Código do Trabalho, requer o Autor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1.º</w:t>
            </w:r>
          </w:p>
        </w:tc>
        <w:tc>
          <w:tcPr/>
          <w:p>
            <w:pPr>
              <w:pStyle w:val="Compact"/>
            </w:pPr>
            <w:r>
              <w:t xml:space="preserve">Que seja</w:t>
            </w:r>
            <w:r>
              <w:t xml:space="preserve"> </w:t>
            </w:r>
            <w:r>
              <w:rPr>
                <w:b/>
                <w:bCs/>
              </w:rPr>
              <w:t xml:space="preserve">declarada a nulidade do despedimento por justa causa</w:t>
            </w:r>
            <w:r>
              <w:t xml:space="preserve"> </w:t>
            </w:r>
            <w:r>
              <w:t xml:space="preserve">praticado em 20 de outubro de 2025, com a consequente</w:t>
            </w:r>
            <w:r>
              <w:t xml:space="preserve"> </w:t>
            </w:r>
            <w:r>
              <w:rPr>
                <w:b/>
                <w:bCs/>
              </w:rPr>
              <w:t xml:space="preserve">reintegração do Autor no seu posto de trabalho</w:t>
            </w:r>
            <w:r>
              <w:t xml:space="preserve">, nas mesmas condições contratuais e remuneratórias anteriores ao despedimento.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2.º</w:t>
            </w:r>
          </w:p>
        </w:tc>
        <w:tc>
          <w:tcPr/>
          <w:p>
            <w:pPr>
              <w:pStyle w:val="Compact"/>
            </w:pPr>
            <w:r>
              <w:t xml:space="preserve">Subsidiariamente, caso V. Exa. entenda pela manutenção do despedimento, que seja reconhecida a</w:t>
            </w:r>
            <w:r>
              <w:t xml:space="preserve"> </w:t>
            </w:r>
            <w:r>
              <w:rPr>
                <w:b/>
                <w:bCs/>
              </w:rPr>
              <w:t xml:space="preserve">invalidade parcial da justa causa</w:t>
            </w:r>
            <w:r>
              <w:t xml:space="preserve">, condenando a empresa ao</w:t>
            </w:r>
            <w:r>
              <w:t xml:space="preserve"> </w:t>
            </w:r>
            <w:r>
              <w:rPr>
                <w:b/>
                <w:bCs/>
              </w:rPr>
              <w:t xml:space="preserve">pagamento das verbas de indemnização por despedimento ilícito</w:t>
            </w:r>
            <w:r>
              <w:t xml:space="preserve">, nos termos do artigo 363.º do Código do Trabalho, correspondente a</w:t>
            </w:r>
            <w:r>
              <w:t xml:space="preserve"> </w:t>
            </w:r>
            <w:r>
              <w:rPr>
                <w:b/>
                <w:bCs/>
              </w:rPr>
              <w:t xml:space="preserve">12 (doze) meses de retribuição base</w:t>
            </w:r>
            <w:r>
              <w:t xml:space="preserve"> </w:t>
            </w:r>
            <w:r>
              <w:t xml:space="preserve">(€ 27 600,00).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3.º</w:t>
            </w:r>
          </w:p>
        </w:tc>
        <w:tc>
          <w:tcPr/>
          <w:p>
            <w:pPr>
              <w:pStyle w:val="Compact"/>
            </w:pPr>
            <w:r>
              <w:t xml:space="preserve">Que seja a empresa condenada ao</w:t>
            </w:r>
            <w:r>
              <w:t xml:space="preserve"> </w:t>
            </w:r>
            <w:r>
              <w:rPr>
                <w:b/>
                <w:bCs/>
              </w:rPr>
              <w:t xml:space="preserve">reembolso de todas as despesas processuais</w:t>
            </w:r>
            <w:r>
              <w:t xml:space="preserve">, incluindo honorários de advogado, nos termos do artigo 78.º do Código de Processo Civil.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4.º</w:t>
            </w:r>
          </w:p>
        </w:tc>
        <w:tc>
          <w:tcPr/>
          <w:p>
            <w:pPr>
              <w:pStyle w:val="Compact"/>
            </w:pPr>
            <w:r>
              <w:t xml:space="preserve">Que seja a empresa condenada ao</w:t>
            </w:r>
            <w:r>
              <w:t xml:space="preserve"> </w:t>
            </w:r>
            <w:r>
              <w:rPr>
                <w:b/>
                <w:bCs/>
              </w:rPr>
              <w:t xml:space="preserve">pagamento de juros de mora</w:t>
            </w:r>
            <w:r>
              <w:t xml:space="preserve"> </w:t>
            </w:r>
            <w:r>
              <w:t xml:space="preserve">à taxa legal sobre as quantias devidas, a partir da data de vencimento até ao efetivo pagamento.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5.º</w:t>
            </w:r>
          </w:p>
        </w:tc>
        <w:tc>
          <w:tcPr/>
          <w:p>
            <w:pPr>
              <w:pStyle w:val="Compact"/>
            </w:pPr>
            <w:r>
              <w:t xml:space="preserve">Que, em caso de recurso, seja deferida a</w:t>
            </w:r>
            <w:r>
              <w:t xml:space="preserve"> </w:t>
            </w:r>
            <w:r>
              <w:rPr>
                <w:b/>
                <w:bCs/>
              </w:rPr>
              <w:t xml:space="preserve">suspensão da execução da sentença</w:t>
            </w:r>
            <w:r>
              <w:t xml:space="preserve"> </w:t>
            </w:r>
            <w:r>
              <w:t xml:space="preserve">até decisão definitiva.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iv.-protesta-por-provas"/>
    <w:p>
      <w:pPr>
        <w:pStyle w:val="Heading3"/>
      </w:pPr>
      <w:r>
        <w:t xml:space="preserve">IV. Protesta por Provas</w:t>
      </w:r>
    </w:p>
    <w:p>
      <w:pPr>
        <w:pStyle w:val="FirstParagraph"/>
      </w:pPr>
      <w:r>
        <w:t xml:space="preserve">O Autor</w:t>
      </w:r>
      <w:r>
        <w:t xml:space="preserve"> </w:t>
      </w:r>
      <w:r>
        <w:rPr>
          <w:b/>
          <w:bCs/>
        </w:rPr>
        <w:t xml:space="preserve">protesta</w:t>
      </w:r>
      <w:r>
        <w:t xml:space="preserve"> </w:t>
      </w:r>
      <w:r>
        <w:t xml:space="preserve">por todos os meios de prova admitidos em direito, nomeadamente: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Prova documental</w:t>
      </w:r>
      <w:r>
        <w:t xml:space="preserve"> </w:t>
      </w:r>
      <w:r>
        <w:t xml:space="preserve">– juntada de cópias autenticadas dos emails, do regulamento interno da empresa e da carta de despedimento;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Prova testemunhal</w:t>
      </w:r>
      <w:r>
        <w:t xml:space="preserve"> </w:t>
      </w:r>
      <w:r>
        <w:t xml:space="preserve">– oitiva de testemunhas que confirmem a natureza pessoal dos emails e a inexistência de prejuízo à empresa;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Prova pericial</w:t>
      </w:r>
      <w:r>
        <w:t xml:space="preserve"> </w:t>
      </w:r>
      <w:r>
        <w:t xml:space="preserve">– requerimento de perícia informática para atestar a origem e o conteúdo dos emails em questão.</w:t>
      </w:r>
    </w:p>
    <w:p>
      <w:r>
        <w:pict>
          <v:rect style="width:0;height:1.5pt" o:hralign="center" o:hrstd="t" o:hr="t"/>
        </w:pict>
      </w:r>
    </w:p>
    <w:bookmarkEnd w:id="13"/>
    <w:bookmarkStart w:id="14" w:name="v.-conclusão"/>
    <w:p>
      <w:pPr>
        <w:pStyle w:val="Heading3"/>
      </w:pPr>
      <w:r>
        <w:t xml:space="preserve">V. Conclusão</w:t>
      </w:r>
    </w:p>
    <w:p>
      <w:pPr>
        <w:pStyle w:val="FirstParagraph"/>
      </w:pPr>
      <w:r>
        <w:t xml:space="preserve">Por todo o exposto, requer a V. Exa. que,</w:t>
      </w:r>
      <w:r>
        <w:t xml:space="preserve"> </w:t>
      </w:r>
      <w:r>
        <w:rPr>
          <w:b/>
          <w:bCs/>
        </w:rPr>
        <w:t xml:space="preserve">após o esgotamento da fase probatória</w:t>
      </w:r>
      <w:r>
        <w:t xml:space="preserve">, seja proferida</w:t>
      </w:r>
      <w:r>
        <w:t xml:space="preserve"> </w:t>
      </w:r>
      <w:r>
        <w:rPr>
          <w:b/>
          <w:bCs/>
        </w:rPr>
        <w:t xml:space="preserve">sentença</w:t>
      </w:r>
      <w:r>
        <w:t xml:space="preserve"> </w:t>
      </w:r>
      <w:r>
        <w:t xml:space="preserve">nos termos dos pedidos acima formulados, com a urgência que impõe a necessidade de tutela efetiva dos direitos do Autor.</w:t>
      </w:r>
    </w:p>
    <w:p>
      <w:pPr>
        <w:pStyle w:val="BodyText"/>
      </w:pPr>
      <w:r>
        <w:rPr>
          <w:b/>
          <w:bCs/>
        </w:rPr>
        <w:t xml:space="preserve">Pede deferimento.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José Manuel da Silva</w:t>
      </w:r>
      <w:r>
        <w:br/>
      </w:r>
      <w:r>
        <w:t xml:space="preserve">(NIF 123 456 789)</w:t>
      </w:r>
    </w:p>
    <w:p>
      <w:pPr>
        <w:pStyle w:val="BodyText"/>
      </w:pPr>
      <w:r>
        <w:rPr>
          <w:b/>
          <w:bCs/>
        </w:rPr>
        <w:t xml:space="preserve">Dr. António Ribeiro</w:t>
      </w:r>
      <w:r>
        <w:br/>
      </w:r>
      <w:r>
        <w:t xml:space="preserve">OAB 12345 – Escritório: Rua das Flores, 12, 2.º Dto., 1050‑150 Lisboa</w:t>
      </w:r>
      <w:r>
        <w:br/>
      </w:r>
      <w:r>
        <w:rPr>
          <w:b/>
          <w:bCs/>
        </w:rPr>
        <w:t xml:space="preserve">Assinatura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Dra. Sofia Carvalho</w:t>
      </w:r>
      <w:r>
        <w:t xml:space="preserve"> </w:t>
      </w:r>
      <w:r>
        <w:t xml:space="preserve">(em representação da Empresa XYZ, Lda.)</w:t>
      </w:r>
      <w:r>
        <w:br/>
      </w:r>
      <w:r>
        <w:t xml:space="preserve">OAB 67890 – Escritório: Rua do Sol, 8, 1.º Esq., 3000‑100 Coimbra</w:t>
      </w:r>
      <w:r>
        <w:br/>
      </w:r>
      <w:r>
        <w:rPr>
          <w:b/>
          <w:bCs/>
        </w:rPr>
        <w:t xml:space="preserve">Assinatura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